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33" w:rsidRPr="00D632AD" w:rsidRDefault="00171F33" w:rsidP="00D632AD">
      <w:pPr>
        <w:tabs>
          <w:tab w:val="left" w:pos="2694"/>
        </w:tabs>
        <w:spacing w:after="0"/>
        <w:rPr>
          <w:rFonts w:ascii="Arial" w:hAnsi="Arial" w:cs="Arial"/>
          <w:sz w:val="24"/>
          <w:szCs w:val="24"/>
        </w:rPr>
      </w:pPr>
      <w:r w:rsidRPr="00D632AD">
        <w:rPr>
          <w:rFonts w:ascii="Arial" w:hAnsi="Arial" w:cs="Arial"/>
          <w:sz w:val="24"/>
          <w:szCs w:val="24"/>
        </w:rPr>
        <w:t>[W lewym górnym rogu strony: policyjne logo z widocznymi napisami: KRAKÓW, Wydział Ruchu Drogowego KWP]</w:t>
      </w:r>
    </w:p>
    <w:p w:rsidR="00D80734" w:rsidRPr="00D632AD" w:rsidRDefault="00D80734" w:rsidP="00D632AD">
      <w:pPr>
        <w:tabs>
          <w:tab w:val="left" w:pos="2694"/>
        </w:tabs>
        <w:spacing w:after="0"/>
        <w:rPr>
          <w:rFonts w:ascii="Arial" w:hAnsi="Arial" w:cs="Arial"/>
          <w:sz w:val="24"/>
          <w:szCs w:val="24"/>
        </w:rPr>
      </w:pPr>
    </w:p>
    <w:p w:rsidR="00171F33" w:rsidRPr="00D632AD" w:rsidRDefault="00171F33" w:rsidP="00D632AD">
      <w:pPr>
        <w:spacing w:after="0"/>
        <w:rPr>
          <w:rFonts w:ascii="Arial" w:hAnsi="Arial" w:cs="Arial"/>
          <w:sz w:val="24"/>
          <w:szCs w:val="24"/>
        </w:rPr>
      </w:pPr>
      <w:r w:rsidRPr="00D632AD">
        <w:rPr>
          <w:rFonts w:ascii="Arial" w:hAnsi="Arial" w:cs="Arial"/>
          <w:sz w:val="24"/>
          <w:szCs w:val="24"/>
        </w:rPr>
        <w:t>Piątkowy przepis drogowy</w:t>
      </w:r>
    </w:p>
    <w:p w:rsidR="00D80734" w:rsidRPr="00D632AD" w:rsidRDefault="00D80734" w:rsidP="00D632AD">
      <w:pPr>
        <w:spacing w:after="0"/>
        <w:rPr>
          <w:rFonts w:ascii="Arial" w:hAnsi="Arial" w:cs="Arial"/>
          <w:sz w:val="24"/>
          <w:szCs w:val="24"/>
        </w:rPr>
      </w:pPr>
    </w:p>
    <w:p w:rsidR="00330B74" w:rsidRPr="00D632AD" w:rsidRDefault="00ED51E9" w:rsidP="00D632AD">
      <w:pPr>
        <w:spacing w:after="0"/>
        <w:rPr>
          <w:rFonts w:ascii="Arial" w:hAnsi="Arial" w:cs="Arial"/>
          <w:sz w:val="24"/>
          <w:szCs w:val="24"/>
        </w:rPr>
      </w:pPr>
      <w:r w:rsidRPr="00D632AD">
        <w:rPr>
          <w:rFonts w:ascii="Arial" w:hAnsi="Arial" w:cs="Arial"/>
          <w:sz w:val="24"/>
          <w:szCs w:val="24"/>
        </w:rPr>
        <w:t>Odc. 6</w:t>
      </w:r>
      <w:r w:rsidR="00E5471D" w:rsidRPr="00D632AD">
        <w:rPr>
          <w:rFonts w:ascii="Arial" w:hAnsi="Arial" w:cs="Arial"/>
          <w:sz w:val="24"/>
          <w:szCs w:val="24"/>
        </w:rPr>
        <w:t>8</w:t>
      </w:r>
      <w:r w:rsidR="005A78C0" w:rsidRPr="00D632AD">
        <w:rPr>
          <w:rFonts w:ascii="Arial" w:hAnsi="Arial" w:cs="Arial"/>
          <w:sz w:val="24"/>
          <w:szCs w:val="24"/>
        </w:rPr>
        <w:t>- „</w:t>
      </w:r>
      <w:r w:rsidR="00E5471D" w:rsidRPr="00D632AD">
        <w:rPr>
          <w:rFonts w:ascii="Arial" w:hAnsi="Arial" w:cs="Arial"/>
          <w:sz w:val="24"/>
          <w:szCs w:val="24"/>
        </w:rPr>
        <w:t>Holowanie</w:t>
      </w:r>
      <w:r w:rsidR="00FB3FA7" w:rsidRPr="00D632AD">
        <w:rPr>
          <w:rFonts w:ascii="Arial" w:hAnsi="Arial" w:cs="Arial"/>
          <w:sz w:val="24"/>
          <w:szCs w:val="24"/>
        </w:rPr>
        <w:t>”</w:t>
      </w:r>
    </w:p>
    <w:p w:rsidR="007E606E" w:rsidRPr="00D632AD" w:rsidRDefault="007E606E" w:rsidP="00D632AD">
      <w:pPr>
        <w:spacing w:after="0"/>
        <w:rPr>
          <w:rFonts w:ascii="Arial" w:hAnsi="Arial" w:cs="Arial"/>
          <w:sz w:val="24"/>
          <w:szCs w:val="24"/>
        </w:rPr>
      </w:pPr>
    </w:p>
    <w:p w:rsidR="00D632AD" w:rsidRPr="00D632AD" w:rsidRDefault="00D632AD" w:rsidP="00D632AD">
      <w:pPr>
        <w:spacing w:line="360" w:lineRule="auto"/>
        <w:rPr>
          <w:rFonts w:ascii="Arial" w:hAnsi="Arial" w:cs="Arial"/>
          <w:sz w:val="24"/>
          <w:szCs w:val="24"/>
        </w:rPr>
      </w:pPr>
      <w:r w:rsidRPr="00D632AD">
        <w:rPr>
          <w:rFonts w:ascii="Arial" w:hAnsi="Arial" w:cs="Arial"/>
          <w:sz w:val="24"/>
          <w:szCs w:val="24"/>
        </w:rPr>
        <w:t>Kierujący może holować pojazd silnikowy pod warunkiem zachowania niżej wymienionych zasad:</w:t>
      </w:r>
    </w:p>
    <w:p w:rsidR="00D632AD" w:rsidRPr="00D632AD" w:rsidRDefault="00D632AD" w:rsidP="00D632AD">
      <w:pPr>
        <w:spacing w:line="360" w:lineRule="auto"/>
        <w:rPr>
          <w:rFonts w:ascii="Arial" w:hAnsi="Arial" w:cs="Arial"/>
          <w:sz w:val="2"/>
          <w:szCs w:val="24"/>
        </w:rPr>
      </w:pPr>
    </w:p>
    <w:p w:rsidR="00D632AD" w:rsidRPr="00D632AD" w:rsidRDefault="00D632AD" w:rsidP="00D632AD">
      <w:pPr>
        <w:spacing w:line="360" w:lineRule="auto"/>
        <w:ind w:left="66"/>
        <w:rPr>
          <w:rFonts w:ascii="Arial" w:hAnsi="Arial" w:cs="Arial"/>
          <w:sz w:val="24"/>
          <w:szCs w:val="24"/>
        </w:rPr>
      </w:pPr>
      <w:r w:rsidRPr="00D632AD">
        <w:rPr>
          <w:rFonts w:ascii="Arial" w:hAnsi="Arial" w:cs="Arial"/>
          <w:sz w:val="24"/>
          <w:szCs w:val="24"/>
        </w:rPr>
        <w:t>Pojazd holujący musi mieć włączone światła mijania i poruszać się z prędkością nie większą niż 30 km/h w obszarze zabudowanym i nie większą niż 60 km</w:t>
      </w:r>
      <w:bookmarkStart w:id="0" w:name="_GoBack"/>
      <w:bookmarkEnd w:id="0"/>
      <w:r w:rsidRPr="00D632AD">
        <w:rPr>
          <w:rFonts w:ascii="Arial" w:hAnsi="Arial" w:cs="Arial"/>
          <w:sz w:val="24"/>
          <w:szCs w:val="24"/>
        </w:rPr>
        <w:t>/h poza obszarem zabudowanym.</w:t>
      </w:r>
    </w:p>
    <w:p w:rsidR="00D632AD" w:rsidRPr="00D632AD" w:rsidRDefault="00D632AD" w:rsidP="00D632AD">
      <w:pPr>
        <w:spacing w:line="360" w:lineRule="auto"/>
        <w:rPr>
          <w:rFonts w:ascii="Arial" w:hAnsi="Arial" w:cs="Arial"/>
          <w:sz w:val="2"/>
          <w:szCs w:val="24"/>
        </w:rPr>
      </w:pPr>
    </w:p>
    <w:p w:rsidR="00D632AD" w:rsidRDefault="00D632AD" w:rsidP="00D632AD">
      <w:pPr>
        <w:spacing w:line="360" w:lineRule="auto"/>
        <w:rPr>
          <w:rFonts w:ascii="Arial" w:hAnsi="Arial" w:cs="Arial"/>
          <w:sz w:val="24"/>
          <w:szCs w:val="24"/>
        </w:rPr>
      </w:pPr>
      <w:r w:rsidRPr="00D632AD">
        <w:rPr>
          <w:rFonts w:ascii="Arial" w:hAnsi="Arial" w:cs="Arial"/>
          <w:sz w:val="24"/>
          <w:szCs w:val="24"/>
        </w:rPr>
        <w:t>Pojazd holowany:</w:t>
      </w:r>
    </w:p>
    <w:p w:rsidR="00D632AD" w:rsidRPr="00D632AD" w:rsidRDefault="00D632AD" w:rsidP="00D632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[Po lewej stronie zdjęcie – widok z tyłu samochodu osobowego holowanego i na drugim planie fragment tyłu samochodu holującego. Pojazd holowany ma umieszczony po lewej stronie, za tylną szybą trójkąt ostrzegawczy. Widoczne warunki drogowe: dobre, pora dzienna.]</w:t>
      </w:r>
    </w:p>
    <w:p w:rsidR="00D632AD" w:rsidRPr="00D632AD" w:rsidRDefault="00D632AD" w:rsidP="00D632AD">
      <w:pPr>
        <w:pStyle w:val="Akapitzlist"/>
        <w:numPr>
          <w:ilvl w:val="0"/>
          <w:numId w:val="9"/>
        </w:numPr>
        <w:spacing w:before="240" w:line="360" w:lineRule="auto"/>
        <w:ind w:left="426"/>
        <w:rPr>
          <w:rFonts w:ascii="Arial" w:hAnsi="Arial" w:cs="Arial"/>
          <w:sz w:val="24"/>
          <w:szCs w:val="24"/>
        </w:rPr>
      </w:pPr>
      <w:r w:rsidRPr="00D632AD">
        <w:rPr>
          <w:rFonts w:ascii="Arial" w:hAnsi="Arial" w:cs="Arial"/>
          <w:sz w:val="24"/>
          <w:szCs w:val="24"/>
        </w:rPr>
        <w:t>Musi być kierowany przez osobę mającą uprawnienia do kierowania tym pojazdem, chyba że sposób holowania wyklucza potrzebę kierowania nim.</w:t>
      </w:r>
    </w:p>
    <w:p w:rsidR="00D632AD" w:rsidRPr="00D632AD" w:rsidRDefault="00D632AD" w:rsidP="00D632AD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D632AD">
        <w:rPr>
          <w:rFonts w:ascii="Arial" w:hAnsi="Arial" w:cs="Arial"/>
          <w:sz w:val="24"/>
          <w:szCs w:val="24"/>
        </w:rPr>
        <w:t>Musi być połączony z pojazdem holującym w sposób wykluczający odczepienie się w czasie jazdy, a w przypadku holowanego motocykla musi być on połączony z pojazdem holującym połączeniem giętkim w sposób umożliwiający  łatwe odczepienie.</w:t>
      </w:r>
    </w:p>
    <w:p w:rsidR="00D632AD" w:rsidRPr="00D632AD" w:rsidRDefault="00D632AD" w:rsidP="00D632AD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D632AD">
        <w:rPr>
          <w:rFonts w:ascii="Arial" w:hAnsi="Arial" w:cs="Arial"/>
          <w:sz w:val="24"/>
          <w:szCs w:val="24"/>
        </w:rPr>
        <w:t>Ma być oznaczony odblaskowym trójkątem ostrzegawczym z tyłu po lewej stronie (nie dotyczy motocykla), lub musi wysyłać żółte sygnały błyskowe (nie mogą to być światła awaryjne). W okresie niedostatecznej widoczności pojazd holowany ma mieć włączone światła pozycyjne.</w:t>
      </w:r>
    </w:p>
    <w:p w:rsidR="00D632AD" w:rsidRPr="00D632AD" w:rsidRDefault="00D632AD" w:rsidP="00D632AD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D632AD">
        <w:rPr>
          <w:rFonts w:ascii="Arial" w:hAnsi="Arial" w:cs="Arial"/>
          <w:sz w:val="24"/>
          <w:szCs w:val="24"/>
        </w:rPr>
        <w:t>W pojeździe holowanym, w przypadku połączenia sztywnego musi być sprawny co najmniej jeden układ hamulców, a przy połączeniu giętkim – dwa układy.</w:t>
      </w:r>
    </w:p>
    <w:p w:rsidR="00D632AD" w:rsidRPr="00D632AD" w:rsidRDefault="00D632AD" w:rsidP="00D632AD">
      <w:pPr>
        <w:spacing w:line="360" w:lineRule="auto"/>
        <w:rPr>
          <w:rFonts w:ascii="Arial" w:hAnsi="Arial" w:cs="Arial"/>
          <w:sz w:val="24"/>
          <w:szCs w:val="24"/>
        </w:rPr>
      </w:pPr>
    </w:p>
    <w:p w:rsidR="00D632AD" w:rsidRPr="00D632AD" w:rsidRDefault="00D632AD" w:rsidP="00D632AD">
      <w:pPr>
        <w:spacing w:line="360" w:lineRule="auto"/>
        <w:ind w:left="66"/>
        <w:rPr>
          <w:rFonts w:ascii="Arial" w:hAnsi="Arial" w:cs="Arial"/>
          <w:sz w:val="24"/>
          <w:szCs w:val="24"/>
        </w:rPr>
      </w:pPr>
      <w:r w:rsidRPr="00D632AD">
        <w:rPr>
          <w:rFonts w:ascii="Arial" w:hAnsi="Arial" w:cs="Arial"/>
          <w:sz w:val="24"/>
          <w:szCs w:val="24"/>
        </w:rPr>
        <w:t>Odległość między pojazdami:</w:t>
      </w:r>
    </w:p>
    <w:p w:rsidR="00D632AD" w:rsidRPr="00D632AD" w:rsidRDefault="00D632AD" w:rsidP="00D632AD">
      <w:pPr>
        <w:spacing w:line="360" w:lineRule="auto"/>
        <w:ind w:left="66"/>
        <w:rPr>
          <w:rFonts w:ascii="Arial" w:hAnsi="Arial" w:cs="Arial"/>
          <w:sz w:val="24"/>
          <w:szCs w:val="24"/>
        </w:rPr>
      </w:pPr>
      <w:r w:rsidRPr="00D632AD">
        <w:rPr>
          <w:rFonts w:ascii="Arial" w:hAnsi="Arial" w:cs="Arial"/>
          <w:sz w:val="24"/>
          <w:szCs w:val="24"/>
        </w:rPr>
        <w:t>- w przypadku połączenia sztywnego maksymalnie 3m,</w:t>
      </w:r>
    </w:p>
    <w:p w:rsidR="00D632AD" w:rsidRPr="00D632AD" w:rsidRDefault="00D632AD" w:rsidP="00D632AD">
      <w:pPr>
        <w:spacing w:line="360" w:lineRule="auto"/>
        <w:ind w:left="66"/>
        <w:rPr>
          <w:rFonts w:ascii="Arial" w:hAnsi="Arial" w:cs="Arial"/>
          <w:sz w:val="24"/>
          <w:szCs w:val="24"/>
        </w:rPr>
      </w:pPr>
      <w:r w:rsidRPr="00D632AD">
        <w:rPr>
          <w:rFonts w:ascii="Arial" w:hAnsi="Arial" w:cs="Arial"/>
          <w:sz w:val="24"/>
          <w:szCs w:val="24"/>
        </w:rPr>
        <w:t xml:space="preserve">- w przypadku połączenia giętkiego od 4 do 6m. </w:t>
      </w:r>
    </w:p>
    <w:p w:rsidR="00D632AD" w:rsidRPr="00D632AD" w:rsidRDefault="00D632AD" w:rsidP="00D632AD">
      <w:pPr>
        <w:spacing w:line="360" w:lineRule="auto"/>
        <w:ind w:left="66"/>
        <w:rPr>
          <w:rFonts w:ascii="Arial" w:hAnsi="Arial" w:cs="Arial"/>
          <w:sz w:val="24"/>
          <w:szCs w:val="24"/>
        </w:rPr>
      </w:pPr>
      <w:r w:rsidRPr="00D632AD">
        <w:rPr>
          <w:rFonts w:ascii="Arial" w:hAnsi="Arial" w:cs="Arial"/>
          <w:sz w:val="24"/>
          <w:szCs w:val="24"/>
        </w:rPr>
        <w:t>Połączenie musi być oznakowane naprzemiennie pasami białymi i czerwonymi albo za pomocą chorągiewki czerwonej lub żółtej.</w:t>
      </w:r>
    </w:p>
    <w:p w:rsidR="00D632AD" w:rsidRPr="00D632AD" w:rsidRDefault="00D632AD" w:rsidP="00D632AD">
      <w:pPr>
        <w:spacing w:line="360" w:lineRule="auto"/>
        <w:ind w:left="66"/>
        <w:rPr>
          <w:rFonts w:ascii="Arial" w:hAnsi="Arial" w:cs="Arial"/>
          <w:sz w:val="36"/>
          <w:szCs w:val="24"/>
        </w:rPr>
      </w:pPr>
    </w:p>
    <w:p w:rsidR="00D632AD" w:rsidRPr="00D632AD" w:rsidRDefault="00D632AD" w:rsidP="00D632AD">
      <w:pPr>
        <w:spacing w:line="360" w:lineRule="auto"/>
        <w:ind w:left="66"/>
        <w:rPr>
          <w:rFonts w:ascii="Arial" w:hAnsi="Arial" w:cs="Arial"/>
          <w:sz w:val="24"/>
          <w:szCs w:val="24"/>
        </w:rPr>
      </w:pPr>
      <w:r w:rsidRPr="00D632AD">
        <w:rPr>
          <w:rFonts w:ascii="Arial" w:hAnsi="Arial" w:cs="Arial"/>
          <w:sz w:val="24"/>
          <w:szCs w:val="24"/>
        </w:rPr>
        <w:lastRenderedPageBreak/>
        <w:t>W razie holowania pojazdu w sposób wykluczający potrzebę kierowania nim lub użycia hamulców, rzeczywista masa całkowita pojazdu holowanego nie może przekraczać rzeczywistej masy całkowitej pojazdu holującego.</w:t>
      </w:r>
    </w:p>
    <w:p w:rsidR="00D632AD" w:rsidRPr="00D632AD" w:rsidRDefault="00D632AD" w:rsidP="00D632AD">
      <w:pPr>
        <w:spacing w:line="360" w:lineRule="auto"/>
        <w:ind w:left="66"/>
        <w:rPr>
          <w:rFonts w:ascii="Arial" w:hAnsi="Arial" w:cs="Arial"/>
          <w:sz w:val="24"/>
          <w:szCs w:val="24"/>
        </w:rPr>
      </w:pPr>
      <w:r w:rsidRPr="00D632AD">
        <w:rPr>
          <w:rFonts w:ascii="Arial" w:hAnsi="Arial" w:cs="Arial"/>
          <w:sz w:val="24"/>
          <w:szCs w:val="24"/>
        </w:rPr>
        <w:t>Zabrania się holowania:</w:t>
      </w:r>
    </w:p>
    <w:p w:rsidR="00D632AD" w:rsidRPr="00D632AD" w:rsidRDefault="00D632AD" w:rsidP="00D632AD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D632AD">
        <w:rPr>
          <w:rFonts w:ascii="Arial" w:hAnsi="Arial" w:cs="Arial"/>
          <w:sz w:val="24"/>
          <w:szCs w:val="24"/>
        </w:rPr>
        <w:t xml:space="preserve"> Pojazdu o niesprawnym układzie kierowniczym lub o niesprawnych hamulcach, chyba że sposób holowania wyklucza potrzebę ich użycia.</w:t>
      </w:r>
    </w:p>
    <w:p w:rsidR="00D632AD" w:rsidRPr="00D632AD" w:rsidRDefault="00D632AD" w:rsidP="00D632AD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D632AD">
        <w:rPr>
          <w:rFonts w:ascii="Arial" w:hAnsi="Arial" w:cs="Arial"/>
          <w:sz w:val="24"/>
          <w:szCs w:val="24"/>
        </w:rPr>
        <w:t>Pojazdu za pomocą połączenia giętkiego, jeżeli w pojeździe tym działanie układu hamulcowego uzależnione jest od pracy silnika a silnik jest unieruchomiony.</w:t>
      </w:r>
    </w:p>
    <w:p w:rsidR="00D632AD" w:rsidRPr="00D632AD" w:rsidRDefault="00D632AD" w:rsidP="00D632AD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D632AD">
        <w:rPr>
          <w:rFonts w:ascii="Arial" w:hAnsi="Arial" w:cs="Arial"/>
          <w:sz w:val="24"/>
          <w:szCs w:val="24"/>
        </w:rPr>
        <w:t>Więcej niż jednego pojazdu, z wyjątkiem pojazdu członowego (czyli zespołu pojazdów składającego się z pojazdu silnikowego z naczepą).</w:t>
      </w:r>
    </w:p>
    <w:p w:rsidR="00D632AD" w:rsidRPr="00D632AD" w:rsidRDefault="00D632AD" w:rsidP="00D632AD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D632AD">
        <w:rPr>
          <w:rFonts w:ascii="Arial" w:hAnsi="Arial" w:cs="Arial"/>
          <w:sz w:val="24"/>
          <w:szCs w:val="24"/>
        </w:rPr>
        <w:t>Pojazdem z przyczepą (naczepą), hulajnogą elektryczną oraz urządzeniem transportu osobistego.</w:t>
      </w:r>
    </w:p>
    <w:p w:rsidR="001965B2" w:rsidRPr="00D632AD" w:rsidRDefault="00D632AD" w:rsidP="00AD00D1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D632AD">
        <w:rPr>
          <w:rFonts w:ascii="Arial" w:hAnsi="Arial" w:cs="Arial"/>
          <w:sz w:val="24"/>
          <w:szCs w:val="24"/>
        </w:rPr>
        <w:t xml:space="preserve">Na autostradzie, z wyjątkiem holowania przez pojazdy przeznaczone do holowania do najbliższego wyjazdu lub miejsca obsługi podróżnych. </w:t>
      </w:r>
    </w:p>
    <w:sectPr w:rsidR="001965B2" w:rsidRPr="00D632AD" w:rsidSect="00D80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C61"/>
    <w:multiLevelType w:val="hybridMultilevel"/>
    <w:tmpl w:val="99442A5C"/>
    <w:lvl w:ilvl="0" w:tplc="7D1AB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E012A"/>
    <w:multiLevelType w:val="hybridMultilevel"/>
    <w:tmpl w:val="CD06F502"/>
    <w:lvl w:ilvl="0" w:tplc="04CEB1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1053A"/>
    <w:multiLevelType w:val="hybridMultilevel"/>
    <w:tmpl w:val="03706088"/>
    <w:lvl w:ilvl="0" w:tplc="BF6E8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C54B3"/>
    <w:multiLevelType w:val="hybridMultilevel"/>
    <w:tmpl w:val="AA367B3C"/>
    <w:lvl w:ilvl="0" w:tplc="04CA224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38863064"/>
    <w:multiLevelType w:val="hybridMultilevel"/>
    <w:tmpl w:val="6994ED52"/>
    <w:lvl w:ilvl="0" w:tplc="AFBA0DB0">
      <w:start w:val="1"/>
      <w:numFmt w:val="bullet"/>
      <w:lvlText w:val="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46AB4C30"/>
    <w:multiLevelType w:val="hybridMultilevel"/>
    <w:tmpl w:val="01C67434"/>
    <w:lvl w:ilvl="0" w:tplc="9BC8C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8150B"/>
    <w:multiLevelType w:val="hybridMultilevel"/>
    <w:tmpl w:val="B13CE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6663A"/>
    <w:multiLevelType w:val="hybridMultilevel"/>
    <w:tmpl w:val="7F0EC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51DEB"/>
    <w:multiLevelType w:val="hybridMultilevel"/>
    <w:tmpl w:val="E1CE20D8"/>
    <w:lvl w:ilvl="0" w:tplc="9AD6A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155A5D"/>
    <w:multiLevelType w:val="hybridMultilevel"/>
    <w:tmpl w:val="BA2CE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CC"/>
    <w:rsid w:val="00115BD1"/>
    <w:rsid w:val="00171F33"/>
    <w:rsid w:val="001965B2"/>
    <w:rsid w:val="00330B74"/>
    <w:rsid w:val="00332049"/>
    <w:rsid w:val="003477DC"/>
    <w:rsid w:val="003E3F95"/>
    <w:rsid w:val="00401451"/>
    <w:rsid w:val="004056BE"/>
    <w:rsid w:val="00450001"/>
    <w:rsid w:val="00484CBC"/>
    <w:rsid w:val="005A0D75"/>
    <w:rsid w:val="005A24B8"/>
    <w:rsid w:val="005A78C0"/>
    <w:rsid w:val="006A21CD"/>
    <w:rsid w:val="006C32AD"/>
    <w:rsid w:val="00724AD7"/>
    <w:rsid w:val="007E606E"/>
    <w:rsid w:val="008C3F2A"/>
    <w:rsid w:val="0093255B"/>
    <w:rsid w:val="00954C72"/>
    <w:rsid w:val="00967419"/>
    <w:rsid w:val="00971D04"/>
    <w:rsid w:val="0098170C"/>
    <w:rsid w:val="009A15A4"/>
    <w:rsid w:val="009B5431"/>
    <w:rsid w:val="009E2B4F"/>
    <w:rsid w:val="00A223CC"/>
    <w:rsid w:val="00A40A73"/>
    <w:rsid w:val="00AD00D1"/>
    <w:rsid w:val="00CA288F"/>
    <w:rsid w:val="00CB1098"/>
    <w:rsid w:val="00D5714E"/>
    <w:rsid w:val="00D632AD"/>
    <w:rsid w:val="00D80734"/>
    <w:rsid w:val="00DE1949"/>
    <w:rsid w:val="00E5471D"/>
    <w:rsid w:val="00EB36D0"/>
    <w:rsid w:val="00ED51E9"/>
    <w:rsid w:val="00F1423C"/>
    <w:rsid w:val="00F31C48"/>
    <w:rsid w:val="00F35686"/>
    <w:rsid w:val="00F52497"/>
    <w:rsid w:val="00F82A9C"/>
    <w:rsid w:val="00FB3EF4"/>
    <w:rsid w:val="00FB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F95"/>
    <w:pPr>
      <w:ind w:left="720"/>
      <w:contextualSpacing/>
    </w:pPr>
  </w:style>
  <w:style w:type="paragraph" w:customStyle="1" w:styleId="Default">
    <w:name w:val="Default"/>
    <w:rsid w:val="00CA28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F95"/>
    <w:pPr>
      <w:ind w:left="720"/>
      <w:contextualSpacing/>
    </w:pPr>
  </w:style>
  <w:style w:type="paragraph" w:customStyle="1" w:styleId="Default">
    <w:name w:val="Default"/>
    <w:rsid w:val="00CA28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26</cp:revision>
  <dcterms:created xsi:type="dcterms:W3CDTF">2021-03-25T14:59:00Z</dcterms:created>
  <dcterms:modified xsi:type="dcterms:W3CDTF">2021-07-08T08:40:00Z</dcterms:modified>
</cp:coreProperties>
</file>